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3" w:rsidRDefault="007600B3">
      <w:r w:rsidRPr="007600B3">
        <w:rPr>
          <w:u w:val="single"/>
        </w:rPr>
        <w:t>Titre</w:t>
      </w:r>
      <w:r w:rsidR="00D13B0C">
        <w:t xml:space="preserve"> : Dieu</w:t>
      </w:r>
      <w:r>
        <w:t xml:space="preserve">, </w:t>
      </w:r>
      <w:r w:rsidR="00D13B0C">
        <w:t>la tentation</w:t>
      </w:r>
      <w:r>
        <w:t xml:space="preserve"> et nous</w:t>
      </w:r>
    </w:p>
    <w:p w:rsidR="007600B3" w:rsidRDefault="007600B3"/>
    <w:p w:rsidR="00EF078C" w:rsidRDefault="007600B3">
      <w:r w:rsidRPr="007600B3">
        <w:rPr>
          <w:u w:val="single"/>
        </w:rPr>
        <w:t>Chapô</w:t>
      </w:r>
      <w:r>
        <w:t xml:space="preserve"> : L</w:t>
      </w:r>
      <w:r w:rsidR="00AE4ACF">
        <w:t>e 18 novembre dernier, l</w:t>
      </w:r>
      <w:r>
        <w:t xml:space="preserve">'assemblée de l'Union </w:t>
      </w:r>
      <w:r w:rsidR="00AE4ACF">
        <w:t>recommandait</w:t>
      </w:r>
      <w:r>
        <w:t xml:space="preserve"> aux paroisses de l'UEPAL d'uti</w:t>
      </w:r>
      <w:r w:rsidR="00AE4ACF">
        <w:t>liser la nouvelle formulation pour</w:t>
      </w:r>
      <w:r>
        <w:t xml:space="preserve"> la sixième demande du Notre Père. On ne dira plus : </w:t>
      </w:r>
      <w:r w:rsidRPr="00AA64D2">
        <w:rPr>
          <w:i/>
        </w:rPr>
        <w:t>" Ne nous soumets pas "</w:t>
      </w:r>
      <w:r>
        <w:t xml:space="preserve"> , mais : </w:t>
      </w:r>
      <w:r w:rsidRPr="00AA64D2">
        <w:rPr>
          <w:i/>
        </w:rPr>
        <w:t>" Ne nous laisse pas entrer en tentation "</w:t>
      </w:r>
      <w:r>
        <w:t>.</w:t>
      </w:r>
    </w:p>
    <w:p w:rsidR="007600B3" w:rsidRDefault="007600B3"/>
    <w:p w:rsidR="006468EE" w:rsidRDefault="00AE4ACF">
      <w:r>
        <w:t>Certes. O</w:t>
      </w:r>
      <w:r w:rsidR="007600B3">
        <w:t xml:space="preserve">n peut s'interroger sur la </w:t>
      </w:r>
      <w:r w:rsidR="006468EE">
        <w:t>soudaine</w:t>
      </w:r>
      <w:r w:rsidR="007600B3">
        <w:t xml:space="preserve"> précipitation qui a conduit à l'a</w:t>
      </w:r>
      <w:r w:rsidR="00A5115A">
        <w:t xml:space="preserve">doption, </w:t>
      </w:r>
      <w:r w:rsidR="006468EE">
        <w:t xml:space="preserve">officiellement une </w:t>
      </w:r>
      <w:r w:rsidR="007600B3">
        <w:t>recommandation</w:t>
      </w:r>
      <w:r w:rsidR="00A5115A">
        <w:t>,</w:t>
      </w:r>
      <w:r w:rsidR="007600B3">
        <w:t xml:space="preserve"> </w:t>
      </w:r>
      <w:r>
        <w:t xml:space="preserve"> par l'UEPAL </w:t>
      </w:r>
      <w:r w:rsidR="006468EE">
        <w:t>de la nouvelle formulation</w:t>
      </w:r>
      <w:r w:rsidR="007600B3">
        <w:t xml:space="preserve"> du Notre Père</w:t>
      </w:r>
      <w:r w:rsidR="006468EE">
        <w:t xml:space="preserve"> à compter du 1er</w:t>
      </w:r>
      <w:r w:rsidR="00A5115A">
        <w:t xml:space="preserve"> dimanche de l'Avent</w:t>
      </w:r>
      <w:r w:rsidR="006468EE">
        <w:t>, soit le 3 décembre</w:t>
      </w:r>
      <w:r w:rsidR="00A5115A">
        <w:t xml:space="preserve"> 2017</w:t>
      </w:r>
      <w:r w:rsidR="007600B3">
        <w:t xml:space="preserve">. </w:t>
      </w:r>
      <w:r w:rsidR="00A5115A">
        <w:t xml:space="preserve">Alors même que le sujet </w:t>
      </w:r>
      <w:r w:rsidR="006468EE">
        <w:t xml:space="preserve">avait si peu été évoqué </w:t>
      </w:r>
      <w:r w:rsidR="00A5115A">
        <w:t xml:space="preserve">dans les ordres du jour auparavant. </w:t>
      </w:r>
      <w:r>
        <w:t>A</w:t>
      </w:r>
      <w:r w:rsidR="00A5115A">
        <w:t>lors même que l'Eglise-soeur qu'est l'EPUdF avait pris le temps d'en débattre</w:t>
      </w:r>
      <w:r w:rsidR="006468EE">
        <w:t>,</w:t>
      </w:r>
      <w:r w:rsidR="00A5115A">
        <w:t xml:space="preserve"> avant </w:t>
      </w:r>
      <w:r>
        <w:t xml:space="preserve">de l'adopter </w:t>
      </w:r>
      <w:r w:rsidR="00A5115A">
        <w:t>formelle</w:t>
      </w:r>
      <w:r>
        <w:t>ment</w:t>
      </w:r>
      <w:r w:rsidR="006468EE">
        <w:t xml:space="preserve"> lors de son</w:t>
      </w:r>
      <w:r w:rsidR="00A5115A">
        <w:t xml:space="preserve"> synode </w:t>
      </w:r>
      <w:r w:rsidR="006468EE">
        <w:t>de</w:t>
      </w:r>
      <w:r w:rsidR="00A5115A">
        <w:t xml:space="preserve"> mai 2016</w:t>
      </w:r>
      <w:r w:rsidR="006468EE">
        <w:t xml:space="preserve"> à Nancy</w:t>
      </w:r>
      <w:r w:rsidR="00A5115A">
        <w:t xml:space="preserve">. </w:t>
      </w:r>
      <w:r w:rsidR="00880172">
        <w:t>Et que l'Eglise catholique francophone pour sa part avait ouvert le chant</w:t>
      </w:r>
      <w:r w:rsidR="006468EE">
        <w:t>ier déjà en 2009 !</w:t>
      </w:r>
      <w:r w:rsidR="00880172">
        <w:t xml:space="preserve"> </w:t>
      </w:r>
      <w:r w:rsidR="006468EE">
        <w:t>Etait-il nécessaire</w:t>
      </w:r>
      <w:r w:rsidR="00880172">
        <w:t xml:space="preserve"> </w:t>
      </w:r>
      <w:r w:rsidR="006468EE">
        <w:t>de faire si vite ?</w:t>
      </w:r>
    </w:p>
    <w:p w:rsidR="006468EE" w:rsidRDefault="006468EE"/>
    <w:p w:rsidR="00A5115A" w:rsidRDefault="00880172">
      <w:r>
        <w:t>L</w:t>
      </w:r>
      <w:r w:rsidR="00BC7334">
        <w:t xml:space="preserve">a </w:t>
      </w:r>
      <w:r w:rsidR="00AE4ACF">
        <w:t xml:space="preserve">question est permise. </w:t>
      </w:r>
      <w:r w:rsidR="006468EE">
        <w:t>Mais ne laissons pas l'arbre cacher la forêt, et un drôle de calendrier institutionnel masquer un sujet aussi important</w:t>
      </w:r>
      <w:r w:rsidR="00AE4ACF">
        <w:t xml:space="preserve"> </w:t>
      </w:r>
      <w:r w:rsidR="006468EE">
        <w:t xml:space="preserve">que </w:t>
      </w:r>
      <w:r w:rsidR="00346EF7">
        <w:t xml:space="preserve">cette prière dont il ne fait pas de doute qu'elle est l'héritage de Jésus lui-même. Prier, c'est s'adresser à Dieu dans l'intimité et la liberté de l'enfant. Prier, c'est aussi dire quelque chose de Dieu, de sa personne, et de nos représentations. A ce titre, le Notre Père constitue </w:t>
      </w:r>
      <w:r w:rsidR="00AE4ACF">
        <w:t xml:space="preserve">un véritable </w:t>
      </w:r>
      <w:r w:rsidR="00AE4ACF" w:rsidRPr="00AE4ACF">
        <w:rPr>
          <w:i/>
        </w:rPr>
        <w:t>" traité de théologie et de spiritualité "</w:t>
      </w:r>
      <w:r w:rsidR="00AE4ACF">
        <w:rPr>
          <w:rStyle w:val="Appelnotedebasdep"/>
          <w:i/>
        </w:rPr>
        <w:footnoteReference w:id="2"/>
      </w:r>
      <w:r w:rsidR="00346EF7">
        <w:t>, dont le sens mérite toute notre attention</w:t>
      </w:r>
      <w:r w:rsidR="00AE4ACF">
        <w:t>.</w:t>
      </w:r>
    </w:p>
    <w:p w:rsidR="00A5115A" w:rsidRDefault="00A5115A"/>
    <w:p w:rsidR="00D13B0C" w:rsidRDefault="00346EF7">
      <w:r>
        <w:t>I</w:t>
      </w:r>
      <w:r w:rsidR="00A5115A">
        <w:t xml:space="preserve">l vaut </w:t>
      </w:r>
      <w:r>
        <w:t xml:space="preserve">donc </w:t>
      </w:r>
      <w:r w:rsidR="00A5115A">
        <w:t xml:space="preserve">la peine </w:t>
      </w:r>
      <w:r w:rsidR="00AE4ACF">
        <w:t xml:space="preserve">dans ces colonnes </w:t>
      </w:r>
      <w:r w:rsidR="00A5115A">
        <w:t>de retracer brièvement l'histoire récente d</w:t>
      </w:r>
      <w:r w:rsidR="0053075A">
        <w:t>e</w:t>
      </w:r>
      <w:r w:rsidR="00A5115A">
        <w:t xml:space="preserve"> </w:t>
      </w:r>
      <w:r>
        <w:t xml:space="preserve">ce </w:t>
      </w:r>
      <w:r w:rsidR="00A5115A">
        <w:t xml:space="preserve">texte </w:t>
      </w:r>
      <w:r>
        <w:t>devenu texte liturgique. Pour nous, lecteurs de la Bible, sa source se trouve dans les</w:t>
      </w:r>
      <w:r w:rsidR="0053075A">
        <w:t xml:space="preserve"> évangiles de Matthieu et de Luc. </w:t>
      </w:r>
      <w:r>
        <w:t>Tel que nous le disons, il est né,</w:t>
      </w:r>
      <w:r w:rsidR="00AE4ACF">
        <w:t xml:space="preserve"> </w:t>
      </w:r>
      <w:r>
        <w:t>pourrait-on dire</w:t>
      </w:r>
      <w:r w:rsidR="00AE4ACF">
        <w:t>, d'un premier rapprochement oecuménique entre évangélistes,</w:t>
      </w:r>
      <w:r>
        <w:t xml:space="preserve"> dont les versions sont sensiblement différentes (voir le tableau).</w:t>
      </w:r>
      <w:r w:rsidR="00AE4ACF">
        <w:t xml:space="preserve"> </w:t>
      </w:r>
      <w:r>
        <w:t xml:space="preserve">Il </w:t>
      </w:r>
      <w:r w:rsidR="00AE4ACF">
        <w:t>fut encore complété par une doxologie</w:t>
      </w:r>
      <w:r w:rsidR="00D13B0C">
        <w:t xml:space="preserve"> (</w:t>
      </w:r>
      <w:r w:rsidR="00D13B0C" w:rsidRPr="00D13B0C">
        <w:rPr>
          <w:i/>
        </w:rPr>
        <w:t>" car c'est à Toi ..."</w:t>
      </w:r>
      <w:r w:rsidR="00D13B0C">
        <w:t>)</w:t>
      </w:r>
      <w:r w:rsidR="00491C90">
        <w:t>,</w:t>
      </w:r>
      <w:r w:rsidR="00D13B0C">
        <w:t xml:space="preserve"> absente des évangiles, </w:t>
      </w:r>
      <w:r w:rsidR="00AE4ACF">
        <w:t xml:space="preserve">probablement tirée de la </w:t>
      </w:r>
      <w:r w:rsidR="00AE4ACF" w:rsidRPr="00491C90">
        <w:rPr>
          <w:i/>
        </w:rPr>
        <w:t>Didachè</w:t>
      </w:r>
      <w:r w:rsidR="00AE4ACF">
        <w:t xml:space="preserve">, </w:t>
      </w:r>
      <w:r w:rsidR="00491C90">
        <w:t>un recueil d'enseignements datant de</w:t>
      </w:r>
      <w:r w:rsidR="00AE4ACF">
        <w:t xml:space="preserve"> la fin du 1er siècle de notre ère.</w:t>
      </w:r>
      <w:r w:rsidR="00D13B0C">
        <w:t xml:space="preserve"> </w:t>
      </w:r>
    </w:p>
    <w:p w:rsidR="00D13B0C" w:rsidRDefault="00D13B0C"/>
    <w:p w:rsidR="00AE4ACF" w:rsidRDefault="00D13B0C">
      <w:r>
        <w:t xml:space="preserve">Oecuménisme </w:t>
      </w:r>
      <w:r w:rsidR="00491C90">
        <w:t xml:space="preserve">de la première heure </w:t>
      </w:r>
      <w:r>
        <w:t xml:space="preserve">? </w:t>
      </w:r>
      <w:r w:rsidR="00491C90">
        <w:t>D'une certaine manière, p</w:t>
      </w:r>
      <w:r>
        <w:t xml:space="preserve">our peu que nous puissions y inclure le judaïsme dans lequel cette prière de Jésus a pris forme. </w:t>
      </w:r>
      <w:r w:rsidR="00491C90">
        <w:t>Car elle</w:t>
      </w:r>
      <w:r>
        <w:t xml:space="preserve"> comporte un certain nombre de ressemblances avec d'autres prières juives connues, comme le fameux </w:t>
      </w:r>
      <w:r w:rsidRPr="00D13B0C">
        <w:rPr>
          <w:i/>
        </w:rPr>
        <w:t>Kaddish</w:t>
      </w:r>
      <w:r>
        <w:t>, l'une des rares prières synagogales prononcées en araméen.</w:t>
      </w:r>
    </w:p>
    <w:p w:rsidR="00D13B0C" w:rsidRDefault="00D13B0C"/>
    <w:p w:rsidR="0053075A" w:rsidRDefault="00B960D6">
      <w:r>
        <w:t>Après avoir été pronon</w:t>
      </w:r>
      <w:r w:rsidR="00491C90">
        <w:t>cé pendant des siècles en latin dans l'Eglise catholique</w:t>
      </w:r>
      <w:r>
        <w:t xml:space="preserve">, et dans </w:t>
      </w:r>
      <w:r w:rsidR="00491C90">
        <w:t>une version française héritée de Calvin</w:t>
      </w:r>
      <w:r>
        <w:t xml:space="preserve"> dans les Eglises issues de la Réforme, est venu le temps d'une véritable prière commune. </w:t>
      </w:r>
      <w:r w:rsidR="0053075A">
        <w:t xml:space="preserve">En 1966 a été adoptée </w:t>
      </w:r>
      <w:r w:rsidR="0053075A" w:rsidRPr="00491C90">
        <w:t>dans le monde francophone</w:t>
      </w:r>
      <w:r w:rsidR="0053075A">
        <w:t xml:space="preserve"> une </w:t>
      </w:r>
      <w:r w:rsidR="00491C90">
        <w:t>traduction liturgique oecuménique du Notre Père. L'</w:t>
      </w:r>
      <w:r w:rsidR="0053075A">
        <w:t xml:space="preserve">évènement </w:t>
      </w:r>
      <w:r w:rsidR="00491C90">
        <w:t xml:space="preserve">est </w:t>
      </w:r>
      <w:r w:rsidR="0053075A">
        <w:t>majeur</w:t>
      </w:r>
      <w:r w:rsidR="00491C90">
        <w:t>,</w:t>
      </w:r>
      <w:r w:rsidR="0053075A">
        <w:t xml:space="preserve"> pour plusieurs raisons. D'abord comme un acte important du mouvement oecuménique</w:t>
      </w:r>
      <w:r w:rsidR="00BC7334">
        <w:t>, dans le souffle d'ouverture du concile Vatican II achevé à la fin de l'année 1965</w:t>
      </w:r>
      <w:r w:rsidR="0053075A">
        <w:t xml:space="preserve">. </w:t>
      </w:r>
      <w:r w:rsidR="00491C90">
        <w:t>L'adjectif  " Notre " qui ouvre le texte prend alors une dimension nouvelle, teintée de perspectives de communion élargies</w:t>
      </w:r>
      <w:r>
        <w:t xml:space="preserve">. </w:t>
      </w:r>
      <w:r w:rsidR="00BC7334">
        <w:t>Acte important ensuite pour l'Eglise catholique qui ne disposait que depuis 1937 d'une version " officielle " de cette prière</w:t>
      </w:r>
      <w:r w:rsidR="00BC7334">
        <w:rPr>
          <w:rStyle w:val="Appelnotedebasdep"/>
        </w:rPr>
        <w:footnoteReference w:id="3"/>
      </w:r>
      <w:r w:rsidR="00BC7334">
        <w:t xml:space="preserve">. </w:t>
      </w:r>
    </w:p>
    <w:p w:rsidR="00BC7334" w:rsidRDefault="00BC7334"/>
    <w:p w:rsidR="00880172" w:rsidRDefault="00491C90">
      <w:r w:rsidRPr="00491C90">
        <w:rPr>
          <w:i/>
        </w:rPr>
        <w:t>" Ne nous soumets pas à la tentation "</w:t>
      </w:r>
      <w:r>
        <w:t xml:space="preserve"> : </w:t>
      </w:r>
      <w:r w:rsidR="006F02C4">
        <w:t>telle est la traduction de la 6ème demande dans la version adoptée en 1966</w:t>
      </w:r>
      <w:r w:rsidR="00CC3B75">
        <w:t>. Cette traduction a suscité dès sa parution de nombreuses réactions d'insatisfactions chez des exégètes, des théologiens, des responsables d'Eglises, mais aussi des croyants ne pouvant accepter de prier un Dieu tyrannique s'amusant à tenter l'homme</w:t>
      </w:r>
      <w:r w:rsidR="006F02C4">
        <w:t xml:space="preserve"> et à le </w:t>
      </w:r>
      <w:r w:rsidR="006F02C4">
        <w:lastRenderedPageBreak/>
        <w:t>soumettre</w:t>
      </w:r>
      <w:r w:rsidR="00CC3B75">
        <w:t xml:space="preserve">. </w:t>
      </w:r>
      <w:r w:rsidR="00305EB8">
        <w:t xml:space="preserve">Au nombre de ceux-là, </w:t>
      </w:r>
      <w:r w:rsidR="00CC3B75">
        <w:t xml:space="preserve">et </w:t>
      </w:r>
      <w:r w:rsidR="006F02C4">
        <w:t>sans détours</w:t>
      </w:r>
      <w:r w:rsidR="00CC3B75">
        <w:t xml:space="preserve">, </w:t>
      </w:r>
      <w:r w:rsidR="00305EB8">
        <w:t xml:space="preserve">Alphonse Maillot n'a pas hésité à saluer l'accord d'un </w:t>
      </w:r>
      <w:r w:rsidR="00CC3B75">
        <w:rPr>
          <w:i/>
        </w:rPr>
        <w:t>" </w:t>
      </w:r>
      <w:r w:rsidR="00305EB8" w:rsidRPr="00305EB8">
        <w:rPr>
          <w:i/>
        </w:rPr>
        <w:t>oecuménisme hâtif "</w:t>
      </w:r>
      <w:r w:rsidR="00305EB8">
        <w:t xml:space="preserve"> à prononcer une </w:t>
      </w:r>
      <w:r w:rsidR="00305EB8" w:rsidRPr="00305EB8">
        <w:rPr>
          <w:i/>
        </w:rPr>
        <w:t>" hérésie "</w:t>
      </w:r>
      <w:r w:rsidR="00305EB8">
        <w:rPr>
          <w:rStyle w:val="Appelnotedebasdep"/>
          <w:i/>
        </w:rPr>
        <w:footnoteReference w:id="4"/>
      </w:r>
      <w:r w:rsidR="00880172">
        <w:t xml:space="preserve">. </w:t>
      </w:r>
    </w:p>
    <w:p w:rsidR="00AA64D2" w:rsidRDefault="00AA64D2"/>
    <w:p w:rsidR="00050F54" w:rsidRDefault="00880172">
      <w:r>
        <w:t xml:space="preserve">Nous voici au coeur du débat, d'abord de nature scripturaire et exégétique. </w:t>
      </w:r>
      <w:r w:rsidR="00050F54">
        <w:t xml:space="preserve">Il </w:t>
      </w:r>
      <w:r w:rsidR="006F02C4">
        <w:t xml:space="preserve">repose sur </w:t>
      </w:r>
      <w:r w:rsidR="00050F54">
        <w:t xml:space="preserve">deux difficultés de traduction. </w:t>
      </w:r>
      <w:r w:rsidR="006F02C4">
        <w:t>La p</w:t>
      </w:r>
      <w:r w:rsidR="00B960D6">
        <w:t xml:space="preserve">remière </w:t>
      </w:r>
      <w:r w:rsidR="006F02C4">
        <w:t xml:space="preserve">tient au fait que </w:t>
      </w:r>
      <w:r w:rsidR="00B960D6">
        <w:t>l</w:t>
      </w:r>
      <w:r w:rsidR="00050F54">
        <w:t>a demande</w:t>
      </w:r>
      <w:r w:rsidR="00B960D6">
        <w:t xml:space="preserve"> formulée ici s'appuie sur </w:t>
      </w:r>
      <w:r w:rsidR="006F02C4">
        <w:t>un</w:t>
      </w:r>
      <w:r w:rsidR="00050F54">
        <w:t xml:space="preserve"> verbe </w:t>
      </w:r>
      <w:r w:rsidR="00B960D6">
        <w:t>grec</w:t>
      </w:r>
      <w:r w:rsidR="006F02C4">
        <w:t>,</w:t>
      </w:r>
      <w:r w:rsidR="00B960D6">
        <w:t xml:space="preserve"> </w:t>
      </w:r>
      <w:r w:rsidR="006F02C4">
        <w:rPr>
          <w:i/>
        </w:rPr>
        <w:t>eisphé</w:t>
      </w:r>
      <w:r w:rsidR="00050F54" w:rsidRPr="00050F54">
        <w:rPr>
          <w:i/>
        </w:rPr>
        <w:t>r</w:t>
      </w:r>
      <w:r w:rsidR="006F02C4">
        <w:rPr>
          <w:i/>
        </w:rPr>
        <w:t>ô</w:t>
      </w:r>
      <w:r w:rsidR="00050F54">
        <w:t xml:space="preserve">, </w:t>
      </w:r>
      <w:r w:rsidR="00B960D6">
        <w:t xml:space="preserve">dont la traduction peut faire débat, </w:t>
      </w:r>
      <w:r w:rsidR="00050F54">
        <w:t xml:space="preserve">mais qui n'exprime </w:t>
      </w:r>
      <w:r w:rsidR="00B960D6">
        <w:t xml:space="preserve">à aucun moment </w:t>
      </w:r>
      <w:r w:rsidR="00050F54">
        <w:t xml:space="preserve">l'idée d'une soumission. </w:t>
      </w:r>
      <w:r w:rsidR="00B960D6">
        <w:t>Le verbe</w:t>
      </w:r>
      <w:r w:rsidR="00050F54">
        <w:t xml:space="preserve"> exprime un mouvement et signifie</w:t>
      </w:r>
      <w:r w:rsidR="00B960D6">
        <w:t xml:space="preserve"> littéralement</w:t>
      </w:r>
      <w:r w:rsidR="00050F54">
        <w:t xml:space="preserve"> : </w:t>
      </w:r>
      <w:r w:rsidR="00050F54" w:rsidRPr="00050F54">
        <w:rPr>
          <w:i/>
        </w:rPr>
        <w:t>porter dans</w:t>
      </w:r>
      <w:r w:rsidR="00050F54">
        <w:t xml:space="preserve">, ou </w:t>
      </w:r>
      <w:r w:rsidR="00050F54" w:rsidRPr="00050F54">
        <w:rPr>
          <w:i/>
        </w:rPr>
        <w:t>importer</w:t>
      </w:r>
      <w:r w:rsidR="00050F54">
        <w:t xml:space="preserve">, d'où les traductions </w:t>
      </w:r>
      <w:r w:rsidR="00050F54" w:rsidRPr="00050F54">
        <w:rPr>
          <w:i/>
        </w:rPr>
        <w:t>" ne nous conduis pas "</w:t>
      </w:r>
      <w:r w:rsidR="00050F54">
        <w:t xml:space="preserve"> (TOB), </w:t>
      </w:r>
      <w:r w:rsidR="00050F54" w:rsidRPr="00050F54">
        <w:rPr>
          <w:i/>
        </w:rPr>
        <w:t>" ne nous fais pas entrer "</w:t>
      </w:r>
      <w:r w:rsidR="00050F54">
        <w:t xml:space="preserve"> (Nouvelle Bible Segond). Le croyant concerné par la demande ne se trouve donc pas </w:t>
      </w:r>
      <w:r w:rsidR="00050F54" w:rsidRPr="00050F54">
        <w:rPr>
          <w:i/>
        </w:rPr>
        <w:t>" sous "</w:t>
      </w:r>
      <w:r w:rsidR="00050F54">
        <w:t xml:space="preserve"> un poids, mais plutôt pris dans un mouvement qui l'entraîne. Quant à l'acteur principal de ce mouvement</w:t>
      </w:r>
      <w:r w:rsidR="00B960D6">
        <w:t>, il</w:t>
      </w:r>
      <w:r w:rsidR="00050F54">
        <w:t xml:space="preserve"> ne fait pas de doute : c'est Dieu.</w:t>
      </w:r>
      <w:r w:rsidR="00B960D6">
        <w:t xml:space="preserve"> Mais ce Dieu, est-il actif, ou </w:t>
      </w:r>
      <w:r w:rsidR="00803789">
        <w:t>permissif ? Fait-il, ou laisse-</w:t>
      </w:r>
      <w:r w:rsidR="00B960D6">
        <w:t xml:space="preserve">t-il </w:t>
      </w:r>
      <w:r w:rsidR="00803789">
        <w:t xml:space="preserve">entrer </w:t>
      </w:r>
      <w:r w:rsidR="00B960D6">
        <w:t xml:space="preserve">le croyant </w:t>
      </w:r>
      <w:r w:rsidR="00730949">
        <w:t>dans la</w:t>
      </w:r>
      <w:r w:rsidR="00B960D6">
        <w:t xml:space="preserve"> tentation</w:t>
      </w:r>
      <w:r w:rsidR="00803789">
        <w:t xml:space="preserve"> ? La nouvelle formulation opte pour ce deuxième choix : </w:t>
      </w:r>
      <w:r w:rsidR="00803789" w:rsidRPr="00803789">
        <w:rPr>
          <w:i/>
        </w:rPr>
        <w:t>" Ne nous laisse pas entrer "</w:t>
      </w:r>
      <w:r w:rsidR="00803789">
        <w:t>.</w:t>
      </w:r>
      <w:r w:rsidR="00730949">
        <w:t xml:space="preserve"> </w:t>
      </w:r>
      <w:r w:rsidR="00803789">
        <w:t xml:space="preserve">Il est </w:t>
      </w:r>
      <w:r w:rsidR="00730949">
        <w:t>fondé sur l'hypothèse que le texte araméen prononcé par Jé</w:t>
      </w:r>
      <w:r w:rsidR="00803789">
        <w:t>sus, dont nous n'avons pas d'autres</w:t>
      </w:r>
      <w:r w:rsidR="00730949">
        <w:t xml:space="preserve"> traces</w:t>
      </w:r>
      <w:r w:rsidR="00803789">
        <w:t xml:space="preserve"> que le grec des évangiles</w:t>
      </w:r>
      <w:r w:rsidR="00730949">
        <w:t xml:space="preserve">,  le disait ainsi. </w:t>
      </w:r>
      <w:r w:rsidR="00803789">
        <w:t>Sans doute cela heurte moins la sensibilité contemporaine, comme le soulignent les auteurs du rapport sur le sujet auprès de l'Eglise Protestante Unie de France et l'UEPAL</w:t>
      </w:r>
      <w:r w:rsidR="00803789">
        <w:rPr>
          <w:rStyle w:val="Appelnotedebasdep"/>
        </w:rPr>
        <w:footnoteReference w:id="5"/>
      </w:r>
      <w:r w:rsidR="00803789">
        <w:t xml:space="preserve">. </w:t>
      </w:r>
      <w:r w:rsidR="00730949">
        <w:t>Dieu ne fait que laisser la porte</w:t>
      </w:r>
      <w:r w:rsidR="00803789">
        <w:t xml:space="preserve"> ouverte </w:t>
      </w:r>
      <w:r w:rsidR="00730949">
        <w:t xml:space="preserve">: il ne conduit lui-même, </w:t>
      </w:r>
      <w:r w:rsidR="00803789">
        <w:t xml:space="preserve">et encore moins </w:t>
      </w:r>
      <w:r w:rsidR="00730949">
        <w:t>ne tente son enfant.</w:t>
      </w:r>
    </w:p>
    <w:p w:rsidR="00B960D6" w:rsidRDefault="00B960D6"/>
    <w:p w:rsidR="00DB4CDC" w:rsidRDefault="00050F54">
      <w:r>
        <w:t xml:space="preserve">Mais où Dieu </w:t>
      </w:r>
      <w:r w:rsidR="00730949">
        <w:t>laisse-t-il aller</w:t>
      </w:r>
      <w:r>
        <w:t xml:space="preserve"> le croyant ? Dans la tentation ou dans l'épreuve ? Voici la deuxième difficulté de traductio</w:t>
      </w:r>
      <w:r w:rsidR="00A927CC">
        <w:t>n</w:t>
      </w:r>
      <w:r w:rsidR="00803789">
        <w:t>, qui concerne un autre</w:t>
      </w:r>
      <w:r>
        <w:t xml:space="preserve"> terme grec</w:t>
      </w:r>
      <w:r w:rsidR="00803789">
        <w:t>,</w:t>
      </w:r>
      <w:r>
        <w:t xml:space="preserve"> </w:t>
      </w:r>
      <w:r w:rsidRPr="00050F54">
        <w:rPr>
          <w:i/>
        </w:rPr>
        <w:t>peira</w:t>
      </w:r>
      <w:r w:rsidR="00A927CC">
        <w:rPr>
          <w:i/>
        </w:rPr>
        <w:t>s</w:t>
      </w:r>
      <w:r w:rsidRPr="00050F54">
        <w:rPr>
          <w:i/>
        </w:rPr>
        <w:t>mos.</w:t>
      </w:r>
      <w:r w:rsidR="00A927CC">
        <w:t xml:space="preserve"> Dans la Septante, version grecque du Premier Testament, le terme</w:t>
      </w:r>
      <w:r w:rsidR="00803789">
        <w:t xml:space="preserve"> est très présent, et traduit une</w:t>
      </w:r>
      <w:r w:rsidR="00A927CC">
        <w:t xml:space="preserve"> racine hébraïque dont le sens premier est : </w:t>
      </w:r>
      <w:r w:rsidR="00803789" w:rsidRPr="00803789">
        <w:rPr>
          <w:i/>
        </w:rPr>
        <w:t>" </w:t>
      </w:r>
      <w:r w:rsidR="00A927CC" w:rsidRPr="00803789">
        <w:rPr>
          <w:i/>
        </w:rPr>
        <w:t>mettre à l'épreuve</w:t>
      </w:r>
      <w:r w:rsidR="00803789" w:rsidRPr="00803789">
        <w:rPr>
          <w:i/>
        </w:rPr>
        <w:t> "</w:t>
      </w:r>
      <w:r w:rsidR="00A927CC">
        <w:t xml:space="preserve">. </w:t>
      </w:r>
      <w:r w:rsidR="00730949">
        <w:t xml:space="preserve">Il est ainsi écrit en Genèse 22, 1 que Dieu </w:t>
      </w:r>
      <w:r w:rsidR="00730949" w:rsidRPr="00730949">
        <w:rPr>
          <w:i/>
        </w:rPr>
        <w:t>" mit Abraham à l'épreuve "</w:t>
      </w:r>
      <w:r w:rsidR="00730949">
        <w:t xml:space="preserve"> en lui demandant de lui sacrifier son fils Isaac. </w:t>
      </w:r>
      <w:r w:rsidR="00A927CC">
        <w:t>Da</w:t>
      </w:r>
      <w:r w:rsidR="00803789">
        <w:t>ns le Nouveau Testament, nous</w:t>
      </w:r>
      <w:r w:rsidR="00A927CC">
        <w:t xml:space="preserve"> retrouvons </w:t>
      </w:r>
      <w:r w:rsidR="00803789">
        <w:t xml:space="preserve">la racine de </w:t>
      </w:r>
      <w:r w:rsidR="00803789" w:rsidRPr="00803789">
        <w:rPr>
          <w:i/>
        </w:rPr>
        <w:t>peirasmos</w:t>
      </w:r>
      <w:r w:rsidR="00803789">
        <w:t xml:space="preserve"> </w:t>
      </w:r>
      <w:r w:rsidR="00A927CC">
        <w:t>pour désigner la tentation de Jésus au désert (Matthieu 4, 1), et l'épreuve-tentation traversée au jardin de Gethsémani (Luc 22, 28.40.46).</w:t>
      </w:r>
    </w:p>
    <w:p w:rsidR="00DB4CDC" w:rsidRDefault="00DB4CDC"/>
    <w:p w:rsidR="00A927CC" w:rsidRDefault="00803789">
      <w:r>
        <w:t>O</w:t>
      </w:r>
      <w:r w:rsidR="00DB4CDC">
        <w:t xml:space="preserve">ù s'arrête l'épreuve, et où commence la tentation ? </w:t>
      </w:r>
      <w:r w:rsidR="00A927CC">
        <w:t xml:space="preserve">Toute traduction doit tenir compte à la fois de la justesse sémantique </w:t>
      </w:r>
      <w:r w:rsidR="00B54291">
        <w:t xml:space="preserve">des termes et expressions </w:t>
      </w:r>
      <w:r w:rsidR="00A927CC">
        <w:t xml:space="preserve">dans </w:t>
      </w:r>
      <w:r w:rsidR="00B54291">
        <w:t>la</w:t>
      </w:r>
      <w:r w:rsidR="00A927CC">
        <w:t xml:space="preserve"> langue d'origine, et de la portée </w:t>
      </w:r>
      <w:r w:rsidR="00DB4CDC">
        <w:t xml:space="preserve">des termes choisis dans la langue de destination. </w:t>
      </w:r>
      <w:r w:rsidR="00E958A5">
        <w:t xml:space="preserve">Cela implique </w:t>
      </w:r>
      <w:r w:rsidR="00DB4CDC">
        <w:t>deux grandes méthodes de traduction. La première</w:t>
      </w:r>
      <w:r w:rsidR="00E958A5">
        <w:t xml:space="preserve">, la méthode dite formelle, </w:t>
      </w:r>
      <w:r w:rsidR="00DB4CDC">
        <w:t>s'attache à donner</w:t>
      </w:r>
      <w:r w:rsidR="00E958A5">
        <w:t>, quel que soit le contexte,</w:t>
      </w:r>
      <w:r w:rsidR="00DB4CDC">
        <w:t xml:space="preserve"> un sens précis </w:t>
      </w:r>
      <w:r w:rsidR="00E958A5">
        <w:t xml:space="preserve">à chaque </w:t>
      </w:r>
      <w:r w:rsidR="00DB4CDC">
        <w:t>mot. La deuxième</w:t>
      </w:r>
      <w:r w:rsidR="00E958A5">
        <w:t>, la méthode dite fonctionnelle,</w:t>
      </w:r>
      <w:r w:rsidR="00DB4CDC">
        <w:t xml:space="preserve"> est plus at</w:t>
      </w:r>
      <w:r w:rsidR="00E958A5">
        <w:t>tentive au contexte, et essaie d'en</w:t>
      </w:r>
      <w:r w:rsidR="00DB4CDC">
        <w:t xml:space="preserve"> rendre compte </w:t>
      </w:r>
      <w:r w:rsidR="00E958A5">
        <w:t xml:space="preserve">en le transposant </w:t>
      </w:r>
      <w:r w:rsidR="00DB4CDC">
        <w:t>dans la langue de destination.</w:t>
      </w:r>
    </w:p>
    <w:p w:rsidR="00DB4CDC" w:rsidRDefault="00DB4CDC"/>
    <w:p w:rsidR="00C365F7" w:rsidRDefault="00E958A5">
      <w:r>
        <w:t xml:space="preserve">Comment distinguer en français les termes </w:t>
      </w:r>
      <w:r w:rsidRPr="00E958A5">
        <w:rPr>
          <w:i/>
        </w:rPr>
        <w:t>" </w:t>
      </w:r>
      <w:r w:rsidR="00DB4CDC" w:rsidRPr="00E958A5">
        <w:rPr>
          <w:i/>
        </w:rPr>
        <w:t>épreuve</w:t>
      </w:r>
      <w:r w:rsidRPr="00E958A5">
        <w:rPr>
          <w:i/>
        </w:rPr>
        <w:t> "</w:t>
      </w:r>
      <w:r w:rsidR="00DB4CDC">
        <w:t xml:space="preserve"> et </w:t>
      </w:r>
      <w:r w:rsidRPr="00E958A5">
        <w:rPr>
          <w:i/>
        </w:rPr>
        <w:t>" </w:t>
      </w:r>
      <w:r w:rsidR="00DB4CDC" w:rsidRPr="00E958A5">
        <w:rPr>
          <w:i/>
        </w:rPr>
        <w:t>tentation</w:t>
      </w:r>
      <w:r w:rsidRPr="00E958A5">
        <w:rPr>
          <w:i/>
        </w:rPr>
        <w:t> "</w:t>
      </w:r>
      <w:r>
        <w:t xml:space="preserve"> ?</w:t>
      </w:r>
      <w:r w:rsidR="00DB4CDC">
        <w:t xml:space="preserve"> </w:t>
      </w:r>
      <w:r>
        <w:t>Dans une acception courante, l</w:t>
      </w:r>
      <w:r w:rsidR="00DB4CDC">
        <w:t xml:space="preserve">'épreuve fait partie de l'existence humaine, dans son horizontalité. Elle en est </w:t>
      </w:r>
      <w:r w:rsidR="00730949">
        <w:t xml:space="preserve">pour ainsi dire </w:t>
      </w:r>
      <w:r w:rsidR="00DB4CDC">
        <w:t xml:space="preserve">une donnée </w:t>
      </w:r>
      <w:r w:rsidR="00C365F7">
        <w:t xml:space="preserve">naturelle, </w:t>
      </w:r>
      <w:r w:rsidR="0085014E">
        <w:t>comme peuvent l'être la maladie et</w:t>
      </w:r>
      <w:r w:rsidR="00C365F7">
        <w:t xml:space="preserve"> la mort.</w:t>
      </w:r>
      <w:r w:rsidR="0085014E">
        <w:t xml:space="preserve"> Pas d'existence sur cette terre sans épreuve.</w:t>
      </w:r>
    </w:p>
    <w:p w:rsidR="00C365F7" w:rsidRDefault="00C365F7"/>
    <w:p w:rsidR="00DB4CDC" w:rsidRDefault="0085014E">
      <w:r>
        <w:t>Le terme de</w:t>
      </w:r>
      <w:r w:rsidR="00C365F7">
        <w:t xml:space="preserve"> tentation renvoie </w:t>
      </w:r>
      <w:r>
        <w:t xml:space="preserve">en revanche </w:t>
      </w:r>
      <w:r w:rsidR="00C365F7">
        <w:t xml:space="preserve">à des connotations morales, sinon théologiques. Là où l'épreuve laisse voir un mal, </w:t>
      </w:r>
      <w:r w:rsidR="00E958A5">
        <w:t>la tentation rend perceptible " le "</w:t>
      </w:r>
      <w:r w:rsidR="00C365F7">
        <w:t xml:space="preserve"> mal, voire le Malin lui-même. Là où l'épreuve suppose une souffrance physique et existentielle, la tentation renvoie à </w:t>
      </w:r>
      <w:r w:rsidR="00E958A5">
        <w:t>l'idée d'un combat intérieur, spirituel. Celui-ci implique un positionnement, et</w:t>
      </w:r>
      <w:r w:rsidR="00C365F7">
        <w:t xml:space="preserve"> une décision.</w:t>
      </w:r>
      <w:r>
        <w:t xml:space="preserve"> </w:t>
      </w:r>
      <w:r w:rsidR="00E958A5">
        <w:t>La tentation</w:t>
      </w:r>
      <w:r>
        <w:t xml:space="preserve"> </w:t>
      </w:r>
      <w:r w:rsidR="00E958A5">
        <w:t xml:space="preserve">suggère </w:t>
      </w:r>
      <w:r>
        <w:t xml:space="preserve">un regard </w:t>
      </w:r>
      <w:r w:rsidR="00E958A5">
        <w:t>sur</w:t>
      </w:r>
      <w:r>
        <w:t xml:space="preserve"> l'épreuve, elle </w:t>
      </w:r>
      <w:r w:rsidR="00E958A5">
        <w:t>concerne le croyant devant Dieu, et donc aussi une situation potentielle de péché.</w:t>
      </w:r>
    </w:p>
    <w:p w:rsidR="00725A40" w:rsidRDefault="00725A40"/>
    <w:p w:rsidR="00725A40" w:rsidRDefault="00725A40">
      <w:r>
        <w:lastRenderedPageBreak/>
        <w:t>Il n'est ainsi jamais question, pour le récit du chapitre 4 de l'évangil</w:t>
      </w:r>
      <w:r w:rsidR="00E958A5">
        <w:t>e de Matthieu 4 de l'épreuve</w:t>
      </w:r>
      <w:r>
        <w:t xml:space="preserve"> de J</w:t>
      </w:r>
      <w:r w:rsidR="00E958A5">
        <w:t>ésus, mais bien de s</w:t>
      </w:r>
      <w:r w:rsidR="0085014E">
        <w:t>a tentation,</w:t>
      </w:r>
      <w:r>
        <w:t xml:space="preserve"> tant il est évident que la confrontation </w:t>
      </w:r>
      <w:r w:rsidR="00E958A5">
        <w:t xml:space="preserve">au désert avec le diable </w:t>
      </w:r>
      <w:r>
        <w:t xml:space="preserve">est fondatrice </w:t>
      </w:r>
      <w:r w:rsidR="0085014E">
        <w:t>du</w:t>
      </w:r>
      <w:r w:rsidR="00E958A5">
        <w:t xml:space="preserve"> ministère de Jésus</w:t>
      </w:r>
      <w:r w:rsidR="0085014E">
        <w:t xml:space="preserve"> et de</w:t>
      </w:r>
      <w:r>
        <w:t xml:space="preserve"> son rapport au monde, dont le diable </w:t>
      </w:r>
      <w:r w:rsidR="0050769F">
        <w:t xml:space="preserve">se </w:t>
      </w:r>
      <w:r w:rsidR="00E958A5">
        <w:t>révèle être</w:t>
      </w:r>
      <w:r w:rsidR="0050769F">
        <w:t xml:space="preserve"> le prince</w:t>
      </w:r>
      <w:r>
        <w:t>. A la lumière de ce récit, on pourrait dire que l'épreuve pour Jésus est celle de la faim et de la soif ; la tentation touche aux miracles, au pouvoir, à l'idolâtrie et à la provocation de Dieu.</w:t>
      </w:r>
      <w:r w:rsidR="003E3116">
        <w:t xml:space="preserve"> Elles sont donc de nature différente.</w:t>
      </w:r>
    </w:p>
    <w:p w:rsidR="003E3116" w:rsidRDefault="003E3116"/>
    <w:p w:rsidR="00725A40" w:rsidRDefault="00D14DE0">
      <w:r>
        <w:t xml:space="preserve">Ce récit fait référence dans la compréhension du Notre Père, car </w:t>
      </w:r>
      <w:r w:rsidR="0050769F">
        <w:t xml:space="preserve">c'est par l'Esprit que </w:t>
      </w:r>
      <w:r w:rsidR="0050769F" w:rsidRPr="00790757">
        <w:rPr>
          <w:i/>
        </w:rPr>
        <w:t>" Jésus fut conduit au désert pour y être tenté par le diable "</w:t>
      </w:r>
      <w:r w:rsidR="0050769F">
        <w:t xml:space="preserve"> (Matthieu 4, 1). </w:t>
      </w:r>
      <w:r>
        <w:t>S'i</w:t>
      </w:r>
      <w:r w:rsidR="00790757">
        <w:t xml:space="preserve">l est donc légitime que l'on dise avec l'apôtre Jacques : </w:t>
      </w:r>
      <w:r w:rsidR="00790757" w:rsidRPr="00790757">
        <w:rPr>
          <w:i/>
        </w:rPr>
        <w:t>" Dieu [...] ne tente personne "</w:t>
      </w:r>
      <w:r w:rsidR="00790757">
        <w:t xml:space="preserve"> (Jc 1, 13), on </w:t>
      </w:r>
      <w:r>
        <w:t xml:space="preserve">peut toutefois </w:t>
      </w:r>
      <w:r w:rsidR="00790757">
        <w:t>ajoute</w:t>
      </w:r>
      <w:r>
        <w:t>r</w:t>
      </w:r>
      <w:r w:rsidR="00790757">
        <w:t xml:space="preserve"> : </w:t>
      </w:r>
      <w:r w:rsidR="00790757" w:rsidRPr="00790757">
        <w:rPr>
          <w:i/>
        </w:rPr>
        <w:t>" Dieu nous conduit seulement ici ou là dans la tentation où le Malin seul nous tente et s'efforce de nous perdre "</w:t>
      </w:r>
      <w:r w:rsidR="00790757">
        <w:rPr>
          <w:rStyle w:val="Appelnotedebasdep"/>
          <w:i/>
        </w:rPr>
        <w:footnoteReference w:id="6"/>
      </w:r>
      <w:r w:rsidR="00790757">
        <w:t>.</w:t>
      </w:r>
    </w:p>
    <w:p w:rsidR="00965BD8" w:rsidRDefault="00965BD8"/>
    <w:p w:rsidR="00F934D9" w:rsidRDefault="00F758A6">
      <w:r>
        <w:t xml:space="preserve">Dieu ne tente pas. </w:t>
      </w:r>
      <w:r w:rsidR="00F934D9">
        <w:t xml:space="preserve">Calvin comme Luther considèrent dans leurs catéchismes respectifs que la tentation ne vient pas de Dieu, mais du diable, du monde, du péché, </w:t>
      </w:r>
      <w:r w:rsidR="00D14DE0">
        <w:t xml:space="preserve">et </w:t>
      </w:r>
      <w:r w:rsidR="00F934D9">
        <w:t xml:space="preserve">des hommes du fait de leur propre chair. Pour Luther, nous demandons ici à Dieu </w:t>
      </w:r>
      <w:r w:rsidR="00F934D9" w:rsidRPr="00F934D9">
        <w:rPr>
          <w:i/>
        </w:rPr>
        <w:t>" de nous garder et de nous défendre "</w:t>
      </w:r>
      <w:r w:rsidR="00F934D9">
        <w:t>. Calvin quant à lui pose la question qui fâche</w:t>
      </w:r>
      <w:r w:rsidR="00D14DE0">
        <w:t>, notre question précisément</w:t>
      </w:r>
      <w:r w:rsidR="00F934D9">
        <w:t xml:space="preserve"> : </w:t>
      </w:r>
      <w:r w:rsidR="00F934D9" w:rsidRPr="00F934D9">
        <w:rPr>
          <w:i/>
        </w:rPr>
        <w:t>" Mais pourquoi demandes-tu à Dieu qu'il ne t'induise pas au mal, puisque cela est le propre office du diable ? "</w:t>
      </w:r>
      <w:r w:rsidR="00F934D9">
        <w:t>. Pour ne pas lui être livré et abandonné par Dieu en raison de nos fautes, devait alors répondre l'enfant.</w:t>
      </w:r>
    </w:p>
    <w:p w:rsidR="00F758A6" w:rsidRDefault="00F758A6"/>
    <w:p w:rsidR="00F934D9" w:rsidRDefault="006D579D">
      <w:r>
        <w:t>Les discussions sur la première partie de cette sixième demande</w:t>
      </w:r>
      <w:r w:rsidR="00D1444A">
        <w:t xml:space="preserve"> ne doivent pas faire oublier son aboutissement : </w:t>
      </w:r>
      <w:r w:rsidR="00D1444A" w:rsidRPr="00D1444A">
        <w:rPr>
          <w:i/>
        </w:rPr>
        <w:t>" mais délivre-nous du mal/Malin "</w:t>
      </w:r>
      <w:r w:rsidR="00D1444A">
        <w:t>. Elle nous rappelle que la prière est langage en mouvement, et non figé, et que ce mouvement conduit à une libération, comme l'expriment si souvent en récit</w:t>
      </w:r>
      <w:r w:rsidR="00D14DE0">
        <w:t>s</w:t>
      </w:r>
      <w:r w:rsidR="00D1444A">
        <w:t xml:space="preserve"> les évangiles. Ce que fait d'abord le Dieu de l'Exode, celui de Pâques, c'est de libérer son peuple : </w:t>
      </w:r>
      <w:r w:rsidR="00D1444A" w:rsidRPr="00D1444A">
        <w:rPr>
          <w:i/>
        </w:rPr>
        <w:t>" c'est pour la liberté que le Christ vous a libérés "</w:t>
      </w:r>
      <w:r w:rsidR="00D1444A">
        <w:t xml:space="preserve"> (Galates 5, 1). </w:t>
      </w:r>
    </w:p>
    <w:p w:rsidR="00F934D9" w:rsidRDefault="00F934D9"/>
    <w:p w:rsidR="005B5ACB" w:rsidRDefault="00552F9C">
      <w:r>
        <w:t xml:space="preserve">Ce verset 13 laisse donc entendre une tension, qui se révèle être un combat spirituel pour le croyant qui, comme le suggère Matthieu, a fermé la porte de sa chambre, et prie son Père, là dans le secret. Combat dans lequel la présence énigmatique du Malin met en question la souveraineté </w:t>
      </w:r>
      <w:r w:rsidR="007E5CA7">
        <w:t>divine, mais tout cela à la lumière de la foi en un Dieu libérateur.</w:t>
      </w:r>
    </w:p>
    <w:p w:rsidR="00552F9C" w:rsidRDefault="00552F9C"/>
    <w:p w:rsidR="005B5ACB" w:rsidRDefault="007E5CA7">
      <w:r>
        <w:t xml:space="preserve">Dans les tentatives menées pour rendre plus compréhensible tout discours de foi, le danger existe de céder à une simplification, qui doit plus au lissage qu'à la pédagogie. Comme l'écrit très justement Céline Rohmer : </w:t>
      </w:r>
      <w:r w:rsidR="005B5ACB" w:rsidRPr="005B5ACB">
        <w:rPr>
          <w:i/>
        </w:rPr>
        <w:t>" Nous n'avons rien à craindre des aspérités et des tensions du texte biblique, tout à espérer du projet qui l'habite "</w:t>
      </w:r>
      <w:r>
        <w:rPr>
          <w:rStyle w:val="Appelnotedebasdep"/>
          <w:i/>
        </w:rPr>
        <w:footnoteReference w:id="7"/>
      </w:r>
      <w:r w:rsidR="005B5ACB" w:rsidRPr="005B5ACB">
        <w:rPr>
          <w:i/>
        </w:rPr>
        <w:t>.</w:t>
      </w:r>
      <w:r>
        <w:t xml:space="preserve"> La tentation ici </w:t>
      </w:r>
      <w:r w:rsidR="00AF68C0">
        <w:t>serait</w:t>
      </w:r>
      <w:r>
        <w:t xml:space="preserve"> de tenir Dieu à l'écart de toute idée d'épreuve, et de le déposséder ainsi de toute souveraineté.</w:t>
      </w:r>
    </w:p>
    <w:p w:rsidR="007E5CA7" w:rsidRDefault="007E5CA7"/>
    <w:p w:rsidR="007E5CA7" w:rsidRDefault="00AF68C0">
      <w:r>
        <w:t xml:space="preserve">D'autant plus que </w:t>
      </w:r>
      <w:r w:rsidR="00A50200">
        <w:t>l</w:t>
      </w:r>
      <w:r w:rsidR="007E5CA7">
        <w:t xml:space="preserve">e Notre Père </w:t>
      </w:r>
      <w:r w:rsidR="00A50200">
        <w:t xml:space="preserve">compte </w:t>
      </w:r>
      <w:r>
        <w:t>d'autres difficultés</w:t>
      </w:r>
      <w:r w:rsidR="00A50200">
        <w:t xml:space="preserve">. Qu'est-ce que ce pain </w:t>
      </w:r>
      <w:r w:rsidR="00A50200" w:rsidRPr="00A50200">
        <w:rPr>
          <w:i/>
        </w:rPr>
        <w:t>" de ce jour "</w:t>
      </w:r>
      <w:r w:rsidR="00A50200">
        <w:t>, comme nous le formulons, mais qui est loin de la ration de pain q</w:t>
      </w:r>
      <w:r>
        <w:t>uotidiennement nécessaire ? Et c</w:t>
      </w:r>
      <w:r w:rsidR="00A50200">
        <w:t>e mal évoqué au verset 13, n'est-ce pas plutôt un Malin personnifié ?</w:t>
      </w:r>
    </w:p>
    <w:p w:rsidR="00A50200" w:rsidRDefault="00A50200"/>
    <w:p w:rsidR="00A50200" w:rsidRDefault="00A50200">
      <w:r>
        <w:t>Ces obstacles apparents ne doive</w:t>
      </w:r>
      <w:r w:rsidR="00AF68C0">
        <w:t>nt pas nous décourager. Ils</w:t>
      </w:r>
      <w:r>
        <w:t xml:space="preserve"> </w:t>
      </w:r>
      <w:r w:rsidR="00AF68C0">
        <w:t xml:space="preserve">nous </w:t>
      </w:r>
      <w:r>
        <w:t xml:space="preserve">conduisent avant tout à considérer le Notre Père comme une prière vivante, qu'elle </w:t>
      </w:r>
      <w:r w:rsidR="00F97B87">
        <w:t>soit prière personnelle</w:t>
      </w:r>
      <w:r>
        <w:t xml:space="preserve"> ou communautaire. A le considérer comme tel, et à toujours le reconsidérer, pour qu'il ne </w:t>
      </w:r>
      <w:r w:rsidR="00F97B87">
        <w:t xml:space="preserve">se </w:t>
      </w:r>
      <w:r w:rsidR="00F97B87">
        <w:lastRenderedPageBreak/>
        <w:t xml:space="preserve">réduise </w:t>
      </w:r>
      <w:r>
        <w:t xml:space="preserve">pas </w:t>
      </w:r>
      <w:r w:rsidR="00423AE5">
        <w:t xml:space="preserve">à un rituel vidé de son sens. En reconnaissant, comme le fait Antoine Nouis, que </w:t>
      </w:r>
      <w:r w:rsidR="00F97B87">
        <w:rPr>
          <w:i/>
        </w:rPr>
        <w:t>" </w:t>
      </w:r>
      <w:r w:rsidR="00423AE5" w:rsidRPr="00423AE5">
        <w:rPr>
          <w:i/>
        </w:rPr>
        <w:t>la prière de Jésus est trop grande pour se laisser enfermer dans une formulation unique</w:t>
      </w:r>
      <w:r w:rsidR="00F97B87">
        <w:rPr>
          <w:i/>
        </w:rPr>
        <w:t> "</w:t>
      </w:r>
      <w:r w:rsidR="00F97B87">
        <w:rPr>
          <w:rStyle w:val="Appelnotedebasdep"/>
          <w:i/>
        </w:rPr>
        <w:footnoteReference w:id="8"/>
      </w:r>
      <w:r w:rsidR="00423AE5">
        <w:t xml:space="preserve">. </w:t>
      </w:r>
    </w:p>
    <w:p w:rsidR="00A50200" w:rsidRDefault="00A50200"/>
    <w:p w:rsidR="00A50200" w:rsidRDefault="00A50200"/>
    <w:p w:rsidR="006468EE" w:rsidRDefault="006468EE"/>
    <w:p w:rsidR="006468EE" w:rsidRDefault="006468EE"/>
    <w:p w:rsidR="006468EE" w:rsidRDefault="006468EE">
      <w:r w:rsidRPr="006468EE">
        <w:rPr>
          <w:b/>
        </w:rPr>
        <w:t>Encadrés</w:t>
      </w:r>
      <w:r>
        <w:t xml:space="preserve"> :</w:t>
      </w:r>
    </w:p>
    <w:p w:rsidR="006468EE" w:rsidRPr="007E5CA7" w:rsidRDefault="006468EE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468EE" w:rsidRPr="00F97B87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97B87">
              <w:rPr>
                <w:rFonts w:eastAsia="Times New Roman" w:cs="Times New Roman"/>
                <w:b/>
                <w:sz w:val="24"/>
                <w:szCs w:val="24"/>
              </w:rPr>
              <w:t>Luc 11</w:t>
            </w:r>
          </w:p>
        </w:tc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97B87">
              <w:rPr>
                <w:rFonts w:eastAsia="Times New Roman" w:cs="Times New Roman"/>
                <w:b/>
                <w:sz w:val="24"/>
                <w:szCs w:val="24"/>
              </w:rPr>
              <w:t>Matthieu 6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7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2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Il leur dit : Quand vous priez, dites :</w:t>
            </w:r>
          </w:p>
        </w:tc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8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9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Voici donc comment vous devez prier :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 xml:space="preserve">Père, </w:t>
            </w:r>
          </w:p>
        </w:tc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Notre Père qui es dans les cieux !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 xml:space="preserve">que ton nom soit reconnu pour sacré, </w:t>
            </w:r>
          </w:p>
        </w:tc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Que ton nom soit reconnu pour sacré,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que ton règne vienne !</w:t>
            </w:r>
          </w:p>
        </w:tc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9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10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que ton règne vienne, 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que ta volonté advienne</w:t>
            </w:r>
          </w:p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— sur la terre comme au ciel.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10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3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Donne-nous, chaque jour, notre pain pour ce jour ;</w:t>
            </w:r>
          </w:p>
        </w:tc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11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11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Donne-nous, aujourd'hui, notre pain pour ce jour ; </w:t>
            </w:r>
          </w:p>
        </w:tc>
      </w:tr>
      <w:tr w:rsidR="006468EE" w:rsidRPr="00F97B87" w:rsidTr="00491C90"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12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4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pardonne-nous nos péchés, </w:t>
            </w:r>
          </w:p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car nous aussi, nous remettons sa dette à quiconque nous doit quelque chose ;</w:t>
            </w:r>
          </w:p>
        </w:tc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13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12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remets-nous nos dettes, </w:t>
            </w:r>
          </w:p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comme nous aussi nous l'avons fait pour nos débiteurs ;</w:t>
            </w:r>
          </w:p>
        </w:tc>
      </w:tr>
      <w:tr w:rsidR="006468EE" w:rsidTr="00491C90">
        <w:tc>
          <w:tcPr>
            <w:tcW w:w="4606" w:type="dxa"/>
          </w:tcPr>
          <w:p w:rsidR="006468EE" w:rsidRPr="00F97B87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et ne nous fais pas entrer dans l'épreuve.</w:t>
            </w:r>
          </w:p>
        </w:tc>
        <w:tc>
          <w:tcPr>
            <w:tcW w:w="4606" w:type="dxa"/>
          </w:tcPr>
          <w:p w:rsidR="006468EE" w:rsidRPr="00F97B87" w:rsidRDefault="00E21016" w:rsidP="00491C90">
            <w:pPr>
              <w:rPr>
                <w:rFonts w:eastAsia="Times New Roman" w:cs="Times New Roman"/>
                <w:szCs w:val="24"/>
              </w:rPr>
            </w:pPr>
            <w:hyperlink r:id="rId14" w:history="1">
              <w:r w:rsidR="006468EE" w:rsidRPr="00F97B87">
                <w:rPr>
                  <w:rFonts w:eastAsia="Times New Roman" w:cs="Times New Roman"/>
                  <w:color w:val="0000FF"/>
                  <w:szCs w:val="24"/>
                  <w:u w:val="single"/>
                </w:rPr>
                <w:t>13</w:t>
              </w:r>
            </w:hyperlink>
            <w:r w:rsidR="006468EE" w:rsidRPr="00F97B87">
              <w:rPr>
                <w:rFonts w:eastAsia="Times New Roman" w:cs="Times New Roman"/>
                <w:szCs w:val="24"/>
              </w:rPr>
              <w:t xml:space="preserve"> ne nous fais pas entrer dans l'épreuve, </w:t>
            </w:r>
          </w:p>
          <w:p w:rsidR="006468EE" w:rsidRPr="0053075A" w:rsidRDefault="006468EE" w:rsidP="00491C90">
            <w:pPr>
              <w:rPr>
                <w:rFonts w:eastAsia="Times New Roman" w:cs="Times New Roman"/>
                <w:szCs w:val="24"/>
              </w:rPr>
            </w:pPr>
            <w:r w:rsidRPr="00F97B87">
              <w:rPr>
                <w:rFonts w:eastAsia="Times New Roman" w:cs="Times New Roman"/>
                <w:szCs w:val="24"/>
              </w:rPr>
              <w:t>mais délivre-nous du Mauvais.</w:t>
            </w:r>
          </w:p>
        </w:tc>
      </w:tr>
    </w:tbl>
    <w:p w:rsidR="007E5CA7" w:rsidRDefault="007E5CA7"/>
    <w:p w:rsidR="007E5CA7" w:rsidRPr="007E5CA7" w:rsidRDefault="007E5CA7"/>
    <w:p w:rsidR="005B5ACB" w:rsidRPr="005B5ACB" w:rsidRDefault="005B5ACB" w:rsidP="005B5ACB"/>
    <w:p w:rsidR="005B5ACB" w:rsidRDefault="005B5ACB" w:rsidP="005B5ACB"/>
    <w:p w:rsidR="006468EE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u w:val="single"/>
        </w:rPr>
      </w:pPr>
      <w:r>
        <w:rPr>
          <w:u w:val="single"/>
        </w:rPr>
        <w:t xml:space="preserve">Matthieu 6, 13 : quelques traductions </w:t>
      </w:r>
    </w:p>
    <w:p w:rsidR="006468EE" w:rsidRPr="00014B35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</w:rPr>
      </w:pPr>
      <w:r w:rsidRPr="00014B35">
        <w:t xml:space="preserve">Segond 1910 : </w:t>
      </w:r>
      <w:r w:rsidRPr="00014B35">
        <w:rPr>
          <w:rFonts w:eastAsia="Times New Roman" w:cs="Times New Roman"/>
          <w:szCs w:val="24"/>
        </w:rPr>
        <w:t>ne nous induis pas en tentation, mais délivre-nous du Malin</w:t>
      </w:r>
    </w:p>
    <w:p w:rsidR="006468EE" w:rsidRPr="00014B35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14B35">
        <w:t>Nouvelle Bible Segond : Ne nous fais pas entrer dans l'épreuve, mais délivre-nous du Mauvais.</w:t>
      </w:r>
    </w:p>
    <w:p w:rsidR="006468EE" w:rsidRPr="00014B35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14B35">
        <w:t>TOB : Ne nous conduis pas dans la tentation, mais délivre-nous du Tentateur</w:t>
      </w:r>
    </w:p>
    <w:p w:rsidR="006468EE" w:rsidRPr="00014B35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14B35">
        <w:t>Français courant : ne nous expose pas à la tentation, mais délivre-nous du Mauvais.</w:t>
      </w:r>
    </w:p>
    <w:p w:rsidR="006468EE" w:rsidRPr="00014B35" w:rsidRDefault="006468EE" w:rsidP="00646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14B35">
        <w:t>Parole de vie : ne permets pas que nous soyons tentés, mais délivre-nous de l'esprit du mal.</w:t>
      </w:r>
    </w:p>
    <w:p w:rsidR="005B5ACB" w:rsidRDefault="005B5ACB" w:rsidP="005B5ACB">
      <w:pPr>
        <w:jc w:val="right"/>
      </w:pPr>
    </w:p>
    <w:p w:rsidR="002B5873" w:rsidRDefault="002B5873" w:rsidP="002B5873"/>
    <w:p w:rsidR="002B5873" w:rsidRDefault="006F556D" w:rsidP="002B5873">
      <w:r>
        <w:t xml:space="preserve">Lectures </w:t>
      </w:r>
      <w:r w:rsidR="002B5873">
        <w:t>utiles</w:t>
      </w:r>
      <w:r>
        <w:t xml:space="preserve"> :</w:t>
      </w:r>
    </w:p>
    <w:p w:rsidR="006F556D" w:rsidRDefault="006F556D" w:rsidP="002B5873"/>
    <w:p w:rsidR="006F556D" w:rsidRDefault="006F556D" w:rsidP="002B5873">
      <w:r>
        <w:t xml:space="preserve">Alphonse Maillot, </w:t>
      </w:r>
      <w:r w:rsidRPr="006F556D">
        <w:rPr>
          <w:i/>
        </w:rPr>
        <w:t>Notre Père. La requête des enfants de Dieu</w:t>
      </w:r>
      <w:r>
        <w:t>, Les bergers et les mages, Paris, 1991</w:t>
      </w:r>
    </w:p>
    <w:p w:rsidR="002B5873" w:rsidRDefault="006F556D" w:rsidP="002B5873">
      <w:r>
        <w:t xml:space="preserve">Roland De Pury, </w:t>
      </w:r>
      <w:r w:rsidRPr="006F556D">
        <w:rPr>
          <w:i/>
        </w:rPr>
        <w:t>Notre Père</w:t>
      </w:r>
      <w:r>
        <w:t>, Delachaux et Niestlé, Neuchâtel, 1959</w:t>
      </w:r>
    </w:p>
    <w:p w:rsidR="006F556D" w:rsidRDefault="006F556D" w:rsidP="002B5873">
      <w:r>
        <w:t xml:space="preserve">Louis Pernot, </w:t>
      </w:r>
      <w:r w:rsidRPr="006F556D">
        <w:rPr>
          <w:i/>
        </w:rPr>
        <w:t>Le Notre Père. Abrégé de tout l'Evangile. Une théologie pour aujourd'hui</w:t>
      </w:r>
      <w:r>
        <w:t>, Editions de Paris, Versailles, 2011</w:t>
      </w:r>
    </w:p>
    <w:p w:rsidR="002B5873" w:rsidRDefault="006F556D" w:rsidP="002B5873">
      <w:r>
        <w:t>EPUdF, Prier ensemble le Notre Père, Revue Ressources n°1, Avril 2015</w:t>
      </w:r>
    </w:p>
    <w:p w:rsidR="006F556D" w:rsidRDefault="006F556D" w:rsidP="002B5873">
      <w:r>
        <w:t xml:space="preserve">Antoine Nouis, </w:t>
      </w:r>
      <w:r w:rsidRPr="006F556D">
        <w:rPr>
          <w:i/>
        </w:rPr>
        <w:t>Notre Père, la prière selon Jésus</w:t>
      </w:r>
      <w:r>
        <w:t>, Empreinte Temps présent, Tharaux, 2015</w:t>
      </w:r>
    </w:p>
    <w:p w:rsidR="006F556D" w:rsidRPr="005B5ACB" w:rsidRDefault="006F556D" w:rsidP="002B5873">
      <w:r>
        <w:t>Collectif, Qu'est-ce que croire. Réponses du Notre Père, Labor et Fides, Genève, 2014</w:t>
      </w:r>
    </w:p>
    <w:sectPr w:rsidR="006F556D" w:rsidRPr="005B5ACB" w:rsidSect="00EF078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24" w:rsidRDefault="00531F24" w:rsidP="00305EB8">
      <w:r>
        <w:separator/>
      </w:r>
    </w:p>
  </w:endnote>
  <w:endnote w:type="continuationSeparator" w:id="1">
    <w:p w:rsidR="00531F24" w:rsidRDefault="00531F24" w:rsidP="0030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5368"/>
      <w:docPartObj>
        <w:docPartGallery w:val="Page Numbers (Bottom of Page)"/>
        <w:docPartUnique/>
      </w:docPartObj>
    </w:sdtPr>
    <w:sdtContent>
      <w:p w:rsidR="00E958A5" w:rsidRDefault="00E21016">
        <w:pPr>
          <w:pStyle w:val="Pieddepage"/>
          <w:jc w:val="center"/>
        </w:pPr>
        <w:fldSimple w:instr=" PAGE   \* MERGEFORMAT ">
          <w:r w:rsidR="00287AC7">
            <w:rPr>
              <w:noProof/>
            </w:rPr>
            <w:t>1</w:t>
          </w:r>
        </w:fldSimple>
      </w:p>
    </w:sdtContent>
  </w:sdt>
  <w:p w:rsidR="00E958A5" w:rsidRDefault="00E95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24" w:rsidRDefault="00531F24" w:rsidP="00305EB8">
      <w:r>
        <w:separator/>
      </w:r>
    </w:p>
  </w:footnote>
  <w:footnote w:type="continuationSeparator" w:id="1">
    <w:p w:rsidR="00531F24" w:rsidRDefault="00531F24" w:rsidP="00305EB8">
      <w:r>
        <w:continuationSeparator/>
      </w:r>
    </w:p>
  </w:footnote>
  <w:footnote w:id="2">
    <w:p w:rsidR="00E958A5" w:rsidRDefault="00E958A5">
      <w:pPr>
        <w:pStyle w:val="Notedebasdepage"/>
      </w:pPr>
      <w:r>
        <w:rPr>
          <w:rStyle w:val="Appelnotedebasdep"/>
        </w:rPr>
        <w:footnoteRef/>
      </w:r>
      <w:r>
        <w:t xml:space="preserve"> A. Nouis, </w:t>
      </w:r>
      <w:r w:rsidRPr="006F556D">
        <w:rPr>
          <w:i/>
        </w:rPr>
        <w:t>Notre Père. La prière selon Jésus</w:t>
      </w:r>
      <w:r>
        <w:t>, p. 13</w:t>
      </w:r>
    </w:p>
  </w:footnote>
  <w:footnote w:id="3">
    <w:p w:rsidR="00E958A5" w:rsidRDefault="00E958A5">
      <w:pPr>
        <w:pStyle w:val="Notedebasdepage"/>
      </w:pPr>
      <w:r>
        <w:rPr>
          <w:rStyle w:val="Appelnotedebasdep"/>
        </w:rPr>
        <w:footnoteRef/>
      </w:r>
      <w:r>
        <w:t xml:space="preserve"> Voir l'article de Jacques rideau dans Ressources, p. 25 et suiv.</w:t>
      </w:r>
    </w:p>
  </w:footnote>
  <w:footnote w:id="4">
    <w:p w:rsidR="00E958A5" w:rsidRDefault="00E958A5">
      <w:pPr>
        <w:pStyle w:val="Notedebasdepage"/>
      </w:pPr>
      <w:r>
        <w:rPr>
          <w:rStyle w:val="Appelnotedebasdep"/>
        </w:rPr>
        <w:footnoteRef/>
      </w:r>
      <w:r>
        <w:t xml:space="preserve"> A. Maillot, </w:t>
      </w:r>
      <w:r w:rsidRPr="00965BD8">
        <w:rPr>
          <w:i/>
        </w:rPr>
        <w:t>Notre Père. La requête des enfants de Dieu</w:t>
      </w:r>
      <w:r>
        <w:t>, Les bergers et les mages, Paris, 1991, p.95</w:t>
      </w:r>
    </w:p>
  </w:footnote>
  <w:footnote w:id="5">
    <w:p w:rsidR="00E958A5" w:rsidRPr="00803789" w:rsidRDefault="00E958A5">
      <w:pPr>
        <w:pStyle w:val="Notedebasdepage"/>
      </w:pPr>
      <w:r>
        <w:rPr>
          <w:rStyle w:val="Appelnotedebasdep"/>
        </w:rPr>
        <w:footnoteRef/>
      </w:r>
      <w:r w:rsidRPr="00803789">
        <w:t xml:space="preserve"> C. Grappe, Agnès Von Kirchbach, </w:t>
      </w:r>
      <w:r w:rsidRPr="00803789">
        <w:rPr>
          <w:i/>
        </w:rPr>
        <w:t>A propos du Notre Père. Rapport pour l'EPUdF et l'UEPAL 2016</w:t>
      </w:r>
      <w:r>
        <w:t>, p. 2</w:t>
      </w:r>
    </w:p>
  </w:footnote>
  <w:footnote w:id="6">
    <w:p w:rsidR="00E958A5" w:rsidRDefault="00E958A5">
      <w:pPr>
        <w:pStyle w:val="Notedebasdepage"/>
      </w:pPr>
      <w:r>
        <w:rPr>
          <w:rStyle w:val="Appelnotedebasdep"/>
        </w:rPr>
        <w:footnoteRef/>
      </w:r>
      <w:r>
        <w:t xml:space="preserve"> R.De Pury, </w:t>
      </w:r>
      <w:r w:rsidRPr="00965BD8">
        <w:rPr>
          <w:i/>
        </w:rPr>
        <w:t>Notre Père</w:t>
      </w:r>
      <w:r>
        <w:t>, p. 79</w:t>
      </w:r>
    </w:p>
  </w:footnote>
  <w:footnote w:id="7">
    <w:p w:rsidR="00E958A5" w:rsidRDefault="00E958A5">
      <w:pPr>
        <w:pStyle w:val="Notedebasdepage"/>
      </w:pPr>
      <w:r>
        <w:rPr>
          <w:rStyle w:val="Appelnotedebasdep"/>
        </w:rPr>
        <w:footnoteRef/>
      </w:r>
      <w:r>
        <w:t xml:space="preserve"> Céline Rohmer, " Aux prises avec la sixième demande ", dans </w:t>
      </w:r>
      <w:r w:rsidRPr="007E5CA7">
        <w:rPr>
          <w:i/>
        </w:rPr>
        <w:t>Prier ensemble le Notre Père</w:t>
      </w:r>
      <w:r>
        <w:t>, Ressources n°1, p.31</w:t>
      </w:r>
    </w:p>
  </w:footnote>
  <w:footnote w:id="8">
    <w:p w:rsidR="00F97B87" w:rsidRDefault="00F97B87">
      <w:pPr>
        <w:pStyle w:val="Notedebasdepage"/>
      </w:pPr>
      <w:r>
        <w:rPr>
          <w:rStyle w:val="Appelnotedebasdep"/>
        </w:rPr>
        <w:footnoteRef/>
      </w:r>
      <w:r>
        <w:t xml:space="preserve"> A. Nouis, </w:t>
      </w:r>
      <w:r w:rsidR="006F556D">
        <w:rPr>
          <w:i/>
        </w:rPr>
        <w:t>Op. cit.,</w:t>
      </w:r>
      <w:r w:rsidR="006F556D" w:rsidRPr="006F556D">
        <w:t xml:space="preserve"> p. 11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E97"/>
    <w:rsid w:val="00014B35"/>
    <w:rsid w:val="00050F54"/>
    <w:rsid w:val="00120FE9"/>
    <w:rsid w:val="001E5E38"/>
    <w:rsid w:val="00281E74"/>
    <w:rsid w:val="00287AC7"/>
    <w:rsid w:val="002B5873"/>
    <w:rsid w:val="00305EB8"/>
    <w:rsid w:val="00346EF7"/>
    <w:rsid w:val="003E3116"/>
    <w:rsid w:val="00423AE5"/>
    <w:rsid w:val="00491C90"/>
    <w:rsid w:val="0050769F"/>
    <w:rsid w:val="0053075A"/>
    <w:rsid w:val="00531F24"/>
    <w:rsid w:val="00552F9C"/>
    <w:rsid w:val="005B5ACB"/>
    <w:rsid w:val="005E5B71"/>
    <w:rsid w:val="006468EE"/>
    <w:rsid w:val="006D579D"/>
    <w:rsid w:val="006F02C4"/>
    <w:rsid w:val="006F556D"/>
    <w:rsid w:val="00717B83"/>
    <w:rsid w:val="00725A40"/>
    <w:rsid w:val="00730949"/>
    <w:rsid w:val="007600B3"/>
    <w:rsid w:val="00790757"/>
    <w:rsid w:val="007A3751"/>
    <w:rsid w:val="007D6F07"/>
    <w:rsid w:val="007E5CA7"/>
    <w:rsid w:val="00803789"/>
    <w:rsid w:val="0085014E"/>
    <w:rsid w:val="00880172"/>
    <w:rsid w:val="008E697D"/>
    <w:rsid w:val="00965BD8"/>
    <w:rsid w:val="009A398F"/>
    <w:rsid w:val="00A256D5"/>
    <w:rsid w:val="00A50200"/>
    <w:rsid w:val="00A5115A"/>
    <w:rsid w:val="00A927CC"/>
    <w:rsid w:val="00AA64D2"/>
    <w:rsid w:val="00AE4ACF"/>
    <w:rsid w:val="00AF68C0"/>
    <w:rsid w:val="00B376EC"/>
    <w:rsid w:val="00B54291"/>
    <w:rsid w:val="00B960D6"/>
    <w:rsid w:val="00BC7334"/>
    <w:rsid w:val="00C365F7"/>
    <w:rsid w:val="00C526B4"/>
    <w:rsid w:val="00CC3B75"/>
    <w:rsid w:val="00D03D17"/>
    <w:rsid w:val="00D13B0C"/>
    <w:rsid w:val="00D1444A"/>
    <w:rsid w:val="00D14DE0"/>
    <w:rsid w:val="00D26E97"/>
    <w:rsid w:val="00DB4CDC"/>
    <w:rsid w:val="00DB6560"/>
    <w:rsid w:val="00E21016"/>
    <w:rsid w:val="00E958A5"/>
    <w:rsid w:val="00EF078C"/>
    <w:rsid w:val="00EF108B"/>
    <w:rsid w:val="00F758A6"/>
    <w:rsid w:val="00F934D9"/>
    <w:rsid w:val="00F97B87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5E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5EB8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5EB8"/>
    <w:rPr>
      <w:vertAlign w:val="superscript"/>
    </w:rPr>
  </w:style>
  <w:style w:type="paragraph" w:customStyle="1" w:styleId="titre4">
    <w:name w:val="titre4"/>
    <w:basedOn w:val="Normal"/>
    <w:rsid w:val="005307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verset">
    <w:name w:val="verset"/>
    <w:basedOn w:val="Policepardfaut"/>
    <w:rsid w:val="0053075A"/>
  </w:style>
  <w:style w:type="character" w:customStyle="1" w:styleId="reference">
    <w:name w:val="reference"/>
    <w:basedOn w:val="Policepardfaut"/>
    <w:rsid w:val="0053075A"/>
  </w:style>
  <w:style w:type="character" w:customStyle="1" w:styleId="poetique">
    <w:name w:val="poetique"/>
    <w:basedOn w:val="Policepardfaut"/>
    <w:rsid w:val="0053075A"/>
  </w:style>
  <w:style w:type="table" w:styleId="Grilledutableau">
    <w:name w:val="Table Grid"/>
    <w:basedOn w:val="TableauNormal"/>
    <w:uiPriority w:val="59"/>
    <w:rsid w:val="00C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B4C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4CD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B4C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CD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re.la-bible.net/verset/Matthieu/6/9/NBS" TargetMode="External"/><Relationship Id="rId13" Type="http://schemas.openxmlformats.org/officeDocument/2006/relationships/hyperlink" Target="http://lire.la-bible.net/verset/Matthieu/6/12/N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re.la-bible.net/verset/Luc/11/2/NBS" TargetMode="External"/><Relationship Id="rId12" Type="http://schemas.openxmlformats.org/officeDocument/2006/relationships/hyperlink" Target="http://lire.la-bible.net/verset/Luc/11/4/NB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re.la-bible.net/verset/Matthieu/6/11/NB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ire.la-bible.net/verset/Luc/11/3/N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re.la-bible.net/verset/Matthieu/6/10/NBS" TargetMode="External"/><Relationship Id="rId14" Type="http://schemas.openxmlformats.org/officeDocument/2006/relationships/hyperlink" Target="http://lire.la-bible.net/verset/Matthieu/6/13/NB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3E39-BF5E-4CEA-AA6B-EB1DF460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Paroisse protestante</dc:creator>
  <cp:lastModifiedBy>hetsch</cp:lastModifiedBy>
  <cp:revision>2</cp:revision>
  <dcterms:created xsi:type="dcterms:W3CDTF">2018-02-02T15:50:00Z</dcterms:created>
  <dcterms:modified xsi:type="dcterms:W3CDTF">2018-02-02T15:50:00Z</dcterms:modified>
</cp:coreProperties>
</file>